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8AC3E" w14:textId="7D1450F1" w:rsidR="00871BCE" w:rsidRPr="00050D85" w:rsidRDefault="00674B19" w:rsidP="00871BCE">
      <w:pPr>
        <w:pStyle w:val="Title"/>
        <w:jc w:val="center"/>
        <w:rPr>
          <w:sz w:val="36"/>
          <w:szCs w:val="36"/>
        </w:rPr>
      </w:pPr>
      <w:r w:rsidRPr="00050D85">
        <w:rPr>
          <w:b/>
          <w:sz w:val="36"/>
          <w:szCs w:val="36"/>
        </w:rPr>
        <w:t>Midnight Sentry Security Consulting, INC.</w:t>
      </w:r>
      <w:r w:rsidR="00871BCE" w:rsidRPr="00050D85">
        <w:rPr>
          <w:b/>
          <w:sz w:val="36"/>
          <w:szCs w:val="36"/>
        </w:rPr>
        <w:t xml:space="preserve"> Capability Statement</w:t>
      </w:r>
    </w:p>
    <w:p w14:paraId="1AFAC373" w14:textId="24B957C5" w:rsidR="00871BCE" w:rsidRDefault="00674B19">
      <w:pPr>
        <w:pStyle w:val="Subtitle"/>
        <w:jc w:val="center"/>
        <w:rPr>
          <w:sz w:val="22"/>
          <w:szCs w:val="22"/>
        </w:rPr>
      </w:pPr>
      <w:r>
        <w:rPr>
          <w:sz w:val="22"/>
          <w:szCs w:val="22"/>
        </w:rPr>
        <w:t>Relentless. Resourceful. Responsive.</w:t>
      </w:r>
    </w:p>
    <w:p w14:paraId="6C4FC765" w14:textId="42B2D638" w:rsidR="00715253" w:rsidRDefault="00715253">
      <w:pPr>
        <w:spacing w:after="80"/>
        <w:jc w:val="center"/>
      </w:pPr>
      <w:r>
        <w:rPr>
          <w:b/>
          <w:bCs/>
          <w:sz w:val="16"/>
          <w:szCs w:val="16"/>
        </w:rPr>
        <w:t>Contact:</w:t>
      </w:r>
      <w:r>
        <w:rPr>
          <w:sz w:val="16"/>
          <w:szCs w:val="16"/>
        </w:rPr>
        <w:t xml:space="preserve"> Brandon G. Bennett | </w:t>
      </w:r>
      <w:r>
        <w:rPr>
          <w:b/>
          <w:bCs/>
          <w:sz w:val="16"/>
          <w:szCs w:val="16"/>
        </w:rPr>
        <w:t>Phone:</w:t>
      </w:r>
      <w:r>
        <w:rPr>
          <w:sz w:val="16"/>
          <w:szCs w:val="16"/>
        </w:rPr>
        <w:t xml:space="preserve"> (410) 572-7823 | </w:t>
      </w:r>
      <w:r>
        <w:rPr>
          <w:b/>
          <w:bCs/>
          <w:sz w:val="16"/>
          <w:szCs w:val="16"/>
        </w:rPr>
        <w:t>Email:</w:t>
      </w:r>
      <w:r>
        <w:rPr>
          <w:sz w:val="16"/>
          <w:szCs w:val="16"/>
        </w:rPr>
        <w:t xml:space="preserve"> bgerald.bennett@gmail.com | </w:t>
      </w:r>
      <w:r>
        <w:rPr>
          <w:b/>
          <w:bCs/>
          <w:sz w:val="16"/>
          <w:szCs w:val="16"/>
        </w:rPr>
        <w:t>Website:</w:t>
      </w:r>
      <w:r>
        <w:rPr>
          <w:sz w:val="16"/>
          <w:szCs w:val="16"/>
        </w:rPr>
        <w:t xml:space="preserve"> m</w:t>
      </w:r>
      <w:r w:rsidR="009D6439">
        <w:rPr>
          <w:sz w:val="16"/>
          <w:szCs w:val="16"/>
        </w:rPr>
        <w:t>idnightsentry</w:t>
      </w:r>
      <w:r w:rsidR="006C7EF2">
        <w:rPr>
          <w:sz w:val="16"/>
          <w:szCs w:val="16"/>
        </w:rPr>
        <w:t>consulting</w:t>
      </w:r>
      <w:r>
        <w:rPr>
          <w:sz w:val="16"/>
          <w:szCs w:val="16"/>
        </w:rPr>
        <w:t xml:space="preserve">.com | </w:t>
      </w:r>
      <w:r>
        <w:rPr>
          <w:b/>
          <w:bCs/>
          <w:sz w:val="16"/>
          <w:szCs w:val="16"/>
        </w:rPr>
        <w:t>Address:</w:t>
      </w:r>
      <w:r>
        <w:rPr>
          <w:sz w:val="16"/>
          <w:szCs w:val="16"/>
        </w:rPr>
        <w:t xml:space="preserve"> 21 S. Stricker Street, Baltimore, MD 21223</w:t>
      </w:r>
    </w:p>
    <w:p w14:paraId="6B1ED8D0" w14:textId="77777777" w:rsidR="006836A1" w:rsidRDefault="006836A1" w:rsidP="006836A1">
      <w:pPr>
        <w:pStyle w:val="Heading1"/>
        <w:rPr>
          <w:sz w:val="22"/>
          <w:szCs w:val="22"/>
        </w:rPr>
      </w:pPr>
      <w:r>
        <w:rPr>
          <w:rFonts w:ascii="Aptos" w:hAnsi="Aptos" w:cstheme="minorBidi"/>
          <w:sz w:val="21"/>
          <w:szCs w:val="21"/>
        </w:rPr>
        <w:t>Company Overview</w:t>
      </w:r>
    </w:p>
    <w:p w14:paraId="0C690C64" w14:textId="77777777" w:rsidR="006836A1" w:rsidRDefault="006836A1">
      <w:pPr>
        <w:spacing w:after="40"/>
        <w:rPr>
          <w:sz w:val="22"/>
          <w:szCs w:val="22"/>
        </w:rPr>
      </w:pPr>
      <w:r>
        <w:rPr>
          <w:sz w:val="20"/>
          <w:szCs w:val="20"/>
        </w:rPr>
        <w:t>Midnight Sentry Security Consulting, INC (MSSC) is a cybersecurity services firm specializing in vulnerability management, security monitoring support, attack surface assessments, security documentation, and compliance support for public-sector and commercial organizations.</w:t>
      </w:r>
    </w:p>
    <w:p w14:paraId="5AD49B04" w14:textId="77777777" w:rsidR="006836A1" w:rsidRDefault="006836A1" w:rsidP="006836A1">
      <w:pPr>
        <w:pStyle w:val="Heading1"/>
        <w:rPr>
          <w:rFonts w:ascii="Aptos" w:hAnsi="Aptos" w:cstheme="minorBidi"/>
          <w:sz w:val="21"/>
          <w:szCs w:val="21"/>
        </w:rPr>
      </w:pPr>
      <w:r>
        <w:rPr>
          <w:rFonts w:ascii="Aptos" w:hAnsi="Aptos" w:cstheme="minorBidi"/>
          <w:sz w:val="21"/>
          <w:szCs w:val="21"/>
        </w:rPr>
        <w:t>Core Competencies</w:t>
      </w:r>
    </w:p>
    <w:p w14:paraId="0F1AE7B2" w14:textId="77777777" w:rsidR="009C26E2" w:rsidRDefault="009C26E2">
      <w:pPr>
        <w:pStyle w:val="ListParagraph"/>
        <w:numPr>
          <w:ilvl w:val="0"/>
          <w:numId w:val="8"/>
        </w:numPr>
        <w:rPr>
          <w:sz w:val="22"/>
          <w:szCs w:val="22"/>
        </w:rPr>
      </w:pPr>
      <w:r>
        <w:rPr>
          <w:sz w:val="20"/>
          <w:szCs w:val="20"/>
        </w:rPr>
        <w:t>Vulnerability Management Support – Identification, analysis, prioritization, and remediation tracking of security vulnerabilities supported by documented risk-rating methodologies and executive reporting.</w:t>
      </w:r>
    </w:p>
    <w:p w14:paraId="79D15A66" w14:textId="77777777" w:rsidR="009C26E2" w:rsidRDefault="009C26E2" w:rsidP="009C26E2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0"/>
          <w:szCs w:val="20"/>
        </w:rPr>
        <w:t>External Attack Surface Assessment – Asset discovery, exposure analysis, attack surface reporting, and security risk assessment of internet-facing systems.</w:t>
      </w:r>
    </w:p>
    <w:p w14:paraId="0BF9365B" w14:textId="77777777" w:rsidR="009C26E2" w:rsidRDefault="009C26E2" w:rsidP="009C26E2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0"/>
          <w:szCs w:val="20"/>
        </w:rPr>
        <w:t>Security Documentation &amp; Compliance Support – Development of security policies, procedures, audit evidence, risk documentation, and compliance support artifacts.</w:t>
      </w:r>
    </w:p>
    <w:p w14:paraId="31524B59" w14:textId="77777777" w:rsidR="006836A1" w:rsidRDefault="006836A1" w:rsidP="006836A1">
      <w:pPr>
        <w:pStyle w:val="Heading1"/>
        <w:rPr>
          <w:sz w:val="22"/>
          <w:szCs w:val="22"/>
        </w:rPr>
      </w:pPr>
      <w:r>
        <w:rPr>
          <w:rFonts w:ascii="Aptos" w:hAnsi="Aptos" w:cstheme="minorBidi"/>
          <w:sz w:val="21"/>
          <w:szCs w:val="21"/>
        </w:rPr>
        <w:t>Differentiators</w:t>
      </w:r>
    </w:p>
    <w:p w14:paraId="007CDF08" w14:textId="7F49B17B" w:rsidR="006836A1" w:rsidRDefault="006836A1">
      <w:pPr>
        <w:spacing w:after="0"/>
        <w:rPr>
          <w:sz w:val="22"/>
          <w:szCs w:val="22"/>
        </w:rPr>
      </w:pPr>
      <w:r>
        <w:rPr>
          <w:sz w:val="20"/>
          <w:szCs w:val="20"/>
        </w:rPr>
        <w:t xml:space="preserve">• </w:t>
      </w:r>
      <w:r w:rsidR="008A5FB0" w:rsidRPr="008A5FB0">
        <w:rPr>
          <w:sz w:val="20"/>
          <w:szCs w:val="20"/>
        </w:rPr>
        <w:t>Portfolio-backed cybersecurity capabilities supported by completed vulnerability assessment, attack surface analysis, and security reporting deliverables.</w:t>
      </w:r>
    </w:p>
    <w:p w14:paraId="28855AD9" w14:textId="77777777" w:rsidR="006836A1" w:rsidRDefault="006836A1">
      <w:pPr>
        <w:spacing w:after="0"/>
        <w:rPr>
          <w:sz w:val="22"/>
          <w:szCs w:val="22"/>
        </w:rPr>
      </w:pPr>
      <w:r>
        <w:rPr>
          <w:sz w:val="20"/>
          <w:szCs w:val="20"/>
        </w:rPr>
        <w:t>• Structured, documentation-driven approach utilizing risk-rating methodologies, remediation workflows, assessment reports, and compliance-support artifacts.</w:t>
      </w:r>
    </w:p>
    <w:p w14:paraId="6A75FDA4" w14:textId="77777777" w:rsidR="006836A1" w:rsidRDefault="006836A1">
      <w:pPr>
        <w:spacing w:after="0"/>
        <w:rPr>
          <w:sz w:val="22"/>
          <w:szCs w:val="22"/>
        </w:rPr>
      </w:pPr>
      <w:r>
        <w:rPr>
          <w:sz w:val="20"/>
          <w:szCs w:val="20"/>
        </w:rPr>
        <w:t>• Agile small-business model providing responsive support, rapid deliverable development, and direct engagement throughout project execution.</w:t>
      </w:r>
    </w:p>
    <w:p w14:paraId="0EC2FA3B" w14:textId="77777777" w:rsidR="006836A1" w:rsidRDefault="006836A1" w:rsidP="006836A1">
      <w:pPr>
        <w:pStyle w:val="Heading1"/>
        <w:rPr>
          <w:sz w:val="22"/>
          <w:szCs w:val="22"/>
        </w:rPr>
      </w:pPr>
      <w:r>
        <w:rPr>
          <w:rFonts w:ascii="Aptos" w:hAnsi="Aptos" w:cstheme="minorBidi"/>
          <w:sz w:val="21"/>
          <w:szCs w:val="21"/>
        </w:rPr>
        <w:t>Relevant Projects</w:t>
      </w:r>
    </w:p>
    <w:p w14:paraId="61C4C55F" w14:textId="77777777" w:rsidR="006836A1" w:rsidRDefault="006836A1">
      <w:pPr>
        <w:spacing w:after="0"/>
        <w:rPr>
          <w:sz w:val="22"/>
          <w:szCs w:val="22"/>
        </w:rPr>
      </w:pPr>
      <w:r>
        <w:rPr>
          <w:sz w:val="20"/>
          <w:szCs w:val="20"/>
        </w:rPr>
        <w:t>• External Attack Surface Assessment Report – Conducted asset discovery, service enumeration, vulnerability identification, risk prioritization, and remediation planning within a controlled enterprise simulation.</w:t>
      </w:r>
    </w:p>
    <w:p w14:paraId="72B119C7" w14:textId="77777777" w:rsidR="006836A1" w:rsidRDefault="006836A1">
      <w:pPr>
        <w:spacing w:after="0"/>
        <w:rPr>
          <w:sz w:val="22"/>
          <w:szCs w:val="22"/>
        </w:rPr>
      </w:pPr>
      <w:r>
        <w:rPr>
          <w:sz w:val="20"/>
          <w:szCs w:val="20"/>
        </w:rPr>
        <w:t>• Vulnerability Management Program Development – Created risk-rating methodology, remediation SLA matrix, vulnerability lifecycle workflow, and executive reporting framework.</w:t>
      </w:r>
    </w:p>
    <w:p w14:paraId="26A35A32" w14:textId="77777777" w:rsidR="006836A1" w:rsidRDefault="006836A1">
      <w:pPr>
        <w:spacing w:after="0"/>
        <w:rPr>
          <w:sz w:val="22"/>
          <w:szCs w:val="22"/>
        </w:rPr>
      </w:pPr>
      <w:r>
        <w:rPr>
          <w:sz w:val="20"/>
          <w:szCs w:val="20"/>
        </w:rPr>
        <w:t>• Government Procurement Experience – Completed end-to-end proposal development and submission through Maryland's eMMA procurement platform.</w:t>
      </w:r>
    </w:p>
    <w:p w14:paraId="11738D07" w14:textId="77777777" w:rsidR="006836A1" w:rsidRDefault="006836A1" w:rsidP="006836A1">
      <w:pPr>
        <w:pStyle w:val="Heading1"/>
        <w:rPr>
          <w:sz w:val="22"/>
          <w:szCs w:val="22"/>
        </w:rPr>
      </w:pPr>
      <w:r>
        <w:rPr>
          <w:rFonts w:ascii="Aptos" w:hAnsi="Aptos" w:cstheme="minorBidi"/>
          <w:sz w:val="21"/>
          <w:szCs w:val="21"/>
        </w:rPr>
        <w:t>NAICS Codes</w:t>
      </w:r>
    </w:p>
    <w:p w14:paraId="409FB17D" w14:textId="77777777" w:rsidR="006836A1" w:rsidRDefault="006836A1">
      <w:pPr>
        <w:spacing w:after="0"/>
        <w:rPr>
          <w:sz w:val="19"/>
          <w:szCs w:val="19"/>
        </w:rPr>
      </w:pPr>
      <w:r>
        <w:rPr>
          <w:b/>
          <w:sz w:val="19"/>
          <w:szCs w:val="19"/>
        </w:rPr>
        <w:t>Primary:</w:t>
      </w:r>
      <w:r>
        <w:rPr>
          <w:sz w:val="19"/>
          <w:szCs w:val="19"/>
        </w:rPr>
        <w:t xml:space="preserve"> 541512 – Computer Systems Design Services | </w:t>
      </w:r>
      <w:r>
        <w:rPr>
          <w:b/>
          <w:sz w:val="19"/>
          <w:szCs w:val="19"/>
        </w:rPr>
        <w:t>Secondary:</w:t>
      </w:r>
      <w:r>
        <w:rPr>
          <w:sz w:val="19"/>
          <w:szCs w:val="19"/>
        </w:rPr>
        <w:t xml:space="preserve"> 541519 – Other Computer Related Services; 541690 – Other Scientific and Technical Consulting Services</w:t>
      </w:r>
    </w:p>
    <w:p w14:paraId="6E9D39CB" w14:textId="77777777" w:rsidR="00590F57" w:rsidRDefault="00590F57">
      <w:pPr>
        <w:spacing w:after="0"/>
        <w:rPr>
          <w:sz w:val="19"/>
          <w:szCs w:val="19"/>
        </w:rPr>
      </w:pPr>
    </w:p>
    <w:sectPr w:rsidR="00590F57" w:rsidSect="00871B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11114"/>
    <w:multiLevelType w:val="hybridMultilevel"/>
    <w:tmpl w:val="9EA48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0D6F79"/>
    <w:multiLevelType w:val="multilevel"/>
    <w:tmpl w:val="62DC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CC6A9A"/>
    <w:multiLevelType w:val="multilevel"/>
    <w:tmpl w:val="AB849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6573CD"/>
    <w:multiLevelType w:val="multilevel"/>
    <w:tmpl w:val="B606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8C007E"/>
    <w:multiLevelType w:val="multilevel"/>
    <w:tmpl w:val="107248BC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4A1585"/>
    <w:multiLevelType w:val="multilevel"/>
    <w:tmpl w:val="77D4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BA74E7"/>
    <w:multiLevelType w:val="multilevel"/>
    <w:tmpl w:val="27DA2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D2334"/>
    <w:multiLevelType w:val="multilevel"/>
    <w:tmpl w:val="80B4F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4F360F6"/>
    <w:multiLevelType w:val="multilevel"/>
    <w:tmpl w:val="F6C47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F7505A4"/>
    <w:multiLevelType w:val="multilevel"/>
    <w:tmpl w:val="3DC6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4095156">
    <w:abstractNumId w:val="4"/>
  </w:num>
  <w:num w:numId="2" w16cid:durableId="1223370920">
    <w:abstractNumId w:val="6"/>
  </w:num>
  <w:num w:numId="3" w16cid:durableId="1912960570">
    <w:abstractNumId w:val="9"/>
  </w:num>
  <w:num w:numId="4" w16cid:durableId="736898877">
    <w:abstractNumId w:val="0"/>
  </w:num>
  <w:num w:numId="5" w16cid:durableId="1869829131">
    <w:abstractNumId w:val="1"/>
  </w:num>
  <w:num w:numId="6" w16cid:durableId="63796559">
    <w:abstractNumId w:val="3"/>
  </w:num>
  <w:num w:numId="7" w16cid:durableId="194781789">
    <w:abstractNumId w:val="7"/>
  </w:num>
  <w:num w:numId="8" w16cid:durableId="1331058203">
    <w:abstractNumId w:val="8"/>
  </w:num>
  <w:num w:numId="9" w16cid:durableId="161747492">
    <w:abstractNumId w:val="2"/>
  </w:num>
  <w:num w:numId="10" w16cid:durableId="17878496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CE"/>
    <w:rsid w:val="00032B68"/>
    <w:rsid w:val="00050D85"/>
    <w:rsid w:val="00051ECE"/>
    <w:rsid w:val="00085AD5"/>
    <w:rsid w:val="001133DF"/>
    <w:rsid w:val="00172106"/>
    <w:rsid w:val="00181FCE"/>
    <w:rsid w:val="0019028F"/>
    <w:rsid w:val="00210480"/>
    <w:rsid w:val="002B5396"/>
    <w:rsid w:val="003179E4"/>
    <w:rsid w:val="00590F57"/>
    <w:rsid w:val="00674B19"/>
    <w:rsid w:val="006836A1"/>
    <w:rsid w:val="006C7EF2"/>
    <w:rsid w:val="00715253"/>
    <w:rsid w:val="00734852"/>
    <w:rsid w:val="00871BCE"/>
    <w:rsid w:val="00892DD1"/>
    <w:rsid w:val="008A5FB0"/>
    <w:rsid w:val="008C2BE4"/>
    <w:rsid w:val="008D01FC"/>
    <w:rsid w:val="008E2F1D"/>
    <w:rsid w:val="009C26E2"/>
    <w:rsid w:val="009D6439"/>
    <w:rsid w:val="00A549DC"/>
    <w:rsid w:val="00AA5BCD"/>
    <w:rsid w:val="00AF0E3F"/>
    <w:rsid w:val="00BF0875"/>
    <w:rsid w:val="00C177B4"/>
    <w:rsid w:val="00C66EF2"/>
    <w:rsid w:val="00C6727F"/>
    <w:rsid w:val="00C8490D"/>
    <w:rsid w:val="00D14C71"/>
    <w:rsid w:val="00E043A9"/>
    <w:rsid w:val="00ED2BDD"/>
    <w:rsid w:val="00F82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8BBEE"/>
  <w15:chartTrackingRefBased/>
  <w15:docId w15:val="{E2104144-B98F-427F-A1ED-7A6091059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1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1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1B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1B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1B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1B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1B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1B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1B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1B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1B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1B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1B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1B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1B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1B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1B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1B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1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1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1B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1B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1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1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1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1B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B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1BCE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871BC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table" w:styleId="GridTable1Light-Accent1">
    <w:name w:val="Grid Table 1 Light Accent 1"/>
    <w:basedOn w:val="TableNormal"/>
    <w:uiPriority w:val="46"/>
    <w:rsid w:val="00871BC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5791</TotalTime>
  <Pages>1</Pages>
  <Words>251</Words>
  <Characters>2062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Bam Bennett</dc:creator>
  <cp:keywords/>
  <dc:description/>
  <cp:lastModifiedBy>Bam Bennett</cp:lastModifiedBy>
  <cp:revision>30</cp:revision>
  <dcterms:created xsi:type="dcterms:W3CDTF">2026-06-19T13:55:00Z</dcterms:created>
  <dcterms:modified xsi:type="dcterms:W3CDTF">2026-06-27T18:33:00Z</dcterms:modified>
</cp:coreProperties>
</file>